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255</w:t>
      </w:r>
    </w:p>
    <w:p>
      <w:r>
        <w:t>Bundesgericht (BGE), 1968-02-09, DE</w:t>
      </w:r>
    </w:p>
    <w:p>
      <w:r>
        <w:rPr>
          <w:b/>
        </w:rPr>
        <w:t xml:space="preserve">Quelle: </w:t>
      </w:r>
      <w:r>
        <w:t>https://mcp.opencaselaw.ch/entscheid/bge_94 I 255</w:t>
      </w:r>
    </w:p>
    <w:p>
      <w:r>
        <w:t>FR: ATF 94 I 255</w:t>
      </w:r>
    </w:p>
    <w:p>
      <w:r>
        <w:t>IT: DTF 94 I 255</w:t>
      </w:r>
    </w:p>
    <w:p>
      <w:pPr>
        <w:pStyle w:val="Heading2"/>
      </w:pPr>
      <w:r>
        <w:t>Regeste</w:t>
      </w:r>
    </w:p>
    <w:p>
      <w:r>
        <w:t>Regeste Unterstellung einer Fluggesellschaft unter die obligatorische Unfallversicherung: 1. Rechtsgrundlage: Art. 60 bis Ziff. 1 lit. b KUVG; Art. 16 Ziff. 5 VO I über die Unfallversicherung vom 25. März 1916 (Erw. 2). 2. Begriff der "Fliegerstation" im Sinne von Art. 16 Ziff. 5 VO I (Erw. 3a). 3. Rückwirkende Inkraftsetzung der obligatorischen Versicherung gemäss Art. 38 VO I; steht der SUVA eine gewisse Ermessensfreiheit zu? Frage offen gelassen (Erw. 4).</w:t>
      </w:r>
    </w:p>
    <w:p>
      <w:pPr>
        <w:pStyle w:val="Heading2"/>
      </w:pPr>
      <w:r>
        <w:t>Erwägungen</w:t>
      </w:r>
    </w:p>
    <w:p>
      <w:r>
        <w:rPr>
          <w:b/>
        </w:rPr>
        <w:t>E. 1</w:t>
      </w:r>
    </w:p>
    <w:p>
      <w:r>
        <w:t>... (Eintretensfrage).</w:t>
      </w:r>
    </w:p>
    <w:p>
      <w:r>
        <w:rPr>
          <w:b/>
        </w:rPr>
        <w:t>E. 2</w:t>
      </w:r>
    </w:p>
    <w:p>
      <w:r>
        <w:t>Art. 60 bis KUVG , der durch Art. 16 des BG vom 18. Juni 1915 über die Ergänzung der Kranken- und Unfallversicherung (BS 8 S. 319 ff.) eingeführt worden ist, ermächtigt den Bundesrat, die obligatorische Unfallversicherung über die in Art. 60 KUVG aufgezählten Betriebe hinaus auf bestimmte Arten anderer Unternehmungen zu erstrecken. Gemäss Art. 60 bis Ziff. 1 lit. b und d KUVG gehören zu diesen Unternehmungen auch solche, in denen explodierbare oder gesundheitsgefährliche Stoffe gewerbmässig erzeugt, im grossen verwendet oder im grossen gelagert werden, oder in denen solche Stoffe auftreten. Art. 60 ter KUVG verpflichtet den Bundesrat, in den Ausführungsvorschriften zu Art. 60 und 60 ter KUVG die Arten von Unternehmungen und Betrieben, deren Angehörige obligatorisch versichert sind, näher zu bezeichnen. Diesem Auftrag ist der Bundesrat u.a. in Art. 16 der Verordnung I über die Unfallversicherung am 25. März 1916 nachgekommen. Dies ist insbesondere der Fall in Ziff. 5, wo er den Betrieb von Luftschiff- und Fliegerstationen der Versicherungspflicht unterstellt.</w:t>
      </w:r>
    </w:p>
    <w:p>
      <w:r>
        <w:rPr>
          <w:b/>
        </w:rPr>
        <w:t>E. 3</w:t>
      </w:r>
    </w:p>
    <w:p>
      <w:r>
        <w:t>Die Beschwerdeführerin bestreitet, dass ihr Unternehmen in Blotzheim eine Fliegerstation darstelle. Sie sei eine Luftfahrtsgesellschaft und falle deshalb nicht unter den Anwendungsbereich von Art. 60 bis Ziff. 1 lit. b KUVG in Verbindung mit Art. 16 Ziff. 5 der VO I. a) Die Verordnung umschreibt den Begriff der "Fliegerstation" nicht näher. Das Wort Fliegerstation ist dem Wort "Bahnstation" nachgebildet. Schon nach dem Sprachgebrauch sind demnach unter Fliegerstation Anlagen zu verstehen, auf BGE 94 I 255 S. 259 denen Flugzeuge landen und starten, auf denen sie mit Treibstoff versehen und überholt werden. Ist die Bezeichnung auch auf die Verhältnisse der Luftfahrt zugeschnitten, die zur Zeit des Erlasses der Verordnung (März 1916) bestanden haben, so ist ihr Sinn dennoch klar. Es sind mit ihr alle technischen Anlagen gemeint, die direkt dem Flugverkehr dienen und dem Flugplatz funktionell eingegliedert sind. Auf diesen Anlagen werden Benzinvorräte im grossen verwendet und gelagert. Daraus ergibt sich die Gefährlichkeit dieser Anlagen und die Notwendigkeit eines besonderen versicherungsrechtlichen Schutzes, wie ihn das KUVG anstrebt. Belanglos ist, ob alle Anlagen im Eigentum einer einzigen Person stehen. Die Beschwerdeführerin unterhält in Blotzheim Anlagen, die zum Flughafen gehören. Insbesondere besitzt sie einen Hangar und Werkstätten zur Wartung ihrer Flugzeuge; sie lässt auf dem Flughafen auch ihre Tanks auffüllen. Wie wichtig dieser Teil des Unternehmens ist, geht schon aus der Tatsache hervor, dass dort 127 Personen eingesetzt sind. Nicht entscheidend ist, dass die von der Beschwerdeführerin betriebenen Anlagen für sich genommen keine vollständige Flugplatzorganisation darstellen. Unerheblich ist überdies, dass die Tankanlagen - nach der Darstellung der Beschwerdeführerin - abseits von den Hangars und Werkstätten der Gesellschaft gebaut sind und von Benzinfirmen bedient werden. Auch ihre Anlagen und ihr Personal schaffen Betriebsgefahren und sind solchen ausgesetzt. Daraus folgt, dass ihr Betrieb unter den Begriff "Fliegerstation" fällt und dass die obligatorische Unfallversicherung mit Recht auf ihr Personal ausgedehnt worden ist. b) Ist die Unterstellung unter die Versicherungspflicht gestützt auf Art. 16 Ziff. 5 VO I gegeben, kann offen bleiben, ob die Beschwerdeführerin auch in Anwendung von Art. 13 Ziff. 4 VO als pflichtig zu erklären wäre und wie es sich mit der - von der Beschwerdeführerin bestrittenen - Gesetzmässigkeit dieser Bestimmung verhält.</w:t>
      </w:r>
    </w:p>
    <w:p>
      <w:r>
        <w:rPr>
          <w:b/>
        </w:rPr>
        <w:t>E. 4</w:t>
      </w:r>
    </w:p>
    <w:p>
      <w:r>
        <w:t>In zweiter Linie richtet sich die Beschwerde gegen die rückwirkende Inkraftsetzung der Versicherung. Die Rückwirkung, wie sie die SUVA angeordnet hat, hält sich unbestrittenermassen im Rahmen der Jahresfrist von Art. 38 VO I; denn am 18. Juni 1966 machten die Erben des Richard Hassenforder erstmals Ansprüche gegenüber der SUVA geltend. Streitig ist bloss noch, ob die SUVA wegen der Verschuldung der Beschwerdeführerin BGE 94 I 255 S. 260 auf die rückwirkende Geltendmachung hätte verzichten können und müssen. Das Bundesamt für Sozialversicherung geht davon aus, Art. 38 Abs. 2 VO I lasse dem Ermessen der Anstalt hinsichtlich der Anordnung des Beginnes der Versicherung keinen Raum. Die Anstalt beansprucht dagegen eine gewisse Ermessensfreiheit (vgl. VEB 1946/47 Nr. 114). Wie es sich damit verhält, muss nicht entschieden werden. Mit der Verwaltungsgerichtsbeschwerde kann nur geltend gemacht werden, der angefochtene Entscheid verletze Bundesrecht. Das Bundesgericht kann daher nicht frei prüfen, ob die Verwaltung von dem ihr allenfalls zustehenden Ermessen einen richtigen Gebrauch gemacht habe ( BGE 89 I 340 Erw.11). Es kann auch im vorliegenden Falle nur bei Überschreitung oder Missbrauch des Ermessens durch die SUVA eingreifen. Von einer Überschreitung oder einem Missbrauch kann hier keine Rede sein. Die Voraussetzungen für die Unterstellung waren schon am 1. Oktober 1961 gegeben. Dann aber war es angezeigt, die Unterstellungsverfügung soweit mit rückwirkender Kraft auszustatten, als das die Verordnung erlaubt. Hiezu kommt, dass die SUVA als öffentliche Anstalt des Bundes bei der Erfüllung der von der Schweiz gegenüber Frankreich übernommenen Verpflichtung, wonach das schweizerische Sozialrecht in den von der Übereinkunft (vom 27. Juli 1961) erfassten Fällen anzuwenden ist, mitzuwirken hatte. Wenn die Beschwerdeführerin tatsächlich eine private Versicherung für ihr Personal abgeschlossen hat, ist diese nach Art. 4 des Ergänzungsgesetzes zum KUVG vom 18. Juni 1915 bei der Festsetzung der Prämien zu berücksichtigen. Die Beschwerdeführerin wird demnach nicht unbillig belastet, auch wenn sie in finanziellen Schwierigkeiten steckt.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